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AA" w:rsidRPr="00375ABE" w:rsidRDefault="008B19AA" w:rsidP="008B19AA">
      <w:pPr>
        <w:rPr>
          <w:sz w:val="22"/>
          <w:szCs w:val="22"/>
        </w:rPr>
      </w:pPr>
      <w:r w:rsidRPr="00375ABE">
        <w:rPr>
          <w:sz w:val="22"/>
          <w:szCs w:val="22"/>
          <w:u w:val="single"/>
        </w:rPr>
        <w:t>Code No.  605</w:t>
      </w:r>
      <w:r w:rsidRPr="00375ABE">
        <w:rPr>
          <w:sz w:val="22"/>
          <w:szCs w:val="22"/>
        </w:rPr>
        <w:tab/>
      </w:r>
      <w:r w:rsidRPr="00375ABE">
        <w:rPr>
          <w:sz w:val="22"/>
          <w:szCs w:val="22"/>
        </w:rPr>
        <w:tab/>
        <w:t>INSTRUCTIONAL MATERIALS</w:t>
      </w:r>
    </w:p>
    <w:p w:rsidR="008B19AA" w:rsidRPr="00375ABE" w:rsidRDefault="008B19AA" w:rsidP="008B19AA">
      <w:pPr>
        <w:pStyle w:val="ConvertStyle56"/>
        <w:jc w:val="right"/>
        <w:rPr>
          <w:rFonts w:ascii="Times New Roman" w:hAnsi="Times New Roman" w:cs="Times New Roman"/>
          <w:sz w:val="22"/>
          <w:szCs w:val="22"/>
        </w:rPr>
      </w:pP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tabs>
          <w:tab w:val="left" w:pos="9360"/>
        </w:tabs>
        <w:ind w:right="0"/>
        <w:jc w:val="right"/>
        <w:rPr>
          <w:rFonts w:ascii="Times New Roman" w:hAnsi="Times New Roman" w:cs="Times New Roman"/>
          <w:sz w:val="22"/>
          <w:szCs w:val="22"/>
        </w:rPr>
      </w:pPr>
      <w:r w:rsidRPr="00375ABE">
        <w:rPr>
          <w:rFonts w:ascii="Times New Roman" w:hAnsi="Times New Roman" w:cs="Times New Roman"/>
          <w:sz w:val="22"/>
          <w:szCs w:val="22"/>
          <w:u w:val="single"/>
        </w:rPr>
        <w:t>Code No. 605.1</w:t>
      </w:r>
    </w:p>
    <w:p w:rsidR="008B19AA" w:rsidRPr="00375ABE" w:rsidRDefault="008B19AA" w:rsidP="008B19AA">
      <w:pPr>
        <w:pStyle w:val="ConvertStyle56"/>
        <w:ind w:right="0"/>
        <w:jc w:val="right"/>
        <w:rPr>
          <w:rFonts w:ascii="Times New Roman" w:hAnsi="Times New Roman" w:cs="Times New Roman"/>
          <w:sz w:val="22"/>
          <w:szCs w:val="22"/>
        </w:rPr>
      </w:pPr>
      <w:r w:rsidRPr="00375ABE">
        <w:rPr>
          <w:rFonts w:ascii="Times New Roman" w:hAnsi="Times New Roman" w:cs="Times New Roman"/>
          <w:sz w:val="22"/>
          <w:szCs w:val="22"/>
        </w:rPr>
        <w:t>Page 1 of 2</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jc w:val="center"/>
        <w:rPr>
          <w:rFonts w:ascii="Times New Roman" w:hAnsi="Times New Roman" w:cs="Times New Roman"/>
          <w:sz w:val="22"/>
          <w:szCs w:val="22"/>
        </w:rPr>
      </w:pPr>
      <w:r w:rsidRPr="00375ABE">
        <w:rPr>
          <w:rFonts w:ascii="Times New Roman" w:hAnsi="Times New Roman" w:cs="Times New Roman"/>
          <w:sz w:val="22"/>
          <w:szCs w:val="22"/>
        </w:rPr>
        <w:t>INSTRUCTIONAL MATERIALS SELECTION</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rPr>
          <w:rFonts w:ascii="Times New Roman" w:hAnsi="Times New Roman" w:cs="Times New Roman"/>
          <w:sz w:val="22"/>
          <w:szCs w:val="22"/>
        </w:rPr>
      </w:pPr>
      <w:r w:rsidRPr="00375ABE">
        <w:rPr>
          <w:rFonts w:ascii="Times New Roman" w:hAnsi="Times New Roman" w:cs="Times New Roman"/>
          <w:sz w:val="22"/>
          <w:szCs w:val="22"/>
        </w:rPr>
        <w:t xml:space="preserve">The board recognizes that the selection of instructional materials is a vital component of the school district's curriculum.  </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rPr>
          <w:rFonts w:ascii="Times New Roman" w:hAnsi="Times New Roman" w:cs="Times New Roman"/>
          <w:sz w:val="22"/>
          <w:szCs w:val="22"/>
        </w:rPr>
      </w:pPr>
      <w:r w:rsidRPr="00375ABE">
        <w:rPr>
          <w:rFonts w:ascii="Times New Roman" w:hAnsi="Times New Roman" w:cs="Times New Roman"/>
          <w:sz w:val="22"/>
          <w:szCs w:val="22"/>
        </w:rPr>
        <w:t>The board has sole discretion to approve instructional materials for the school district.  The board delegates its authority to determine which instructional materials will be utilized and purchased by the school district, other than textbooks, to licensed employees.  The licensed employees will work closely together to ensure vertical and horizontal articulation of textbooks in the education program.</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rPr>
          <w:rFonts w:ascii="Times New Roman" w:hAnsi="Times New Roman" w:cs="Times New Roman"/>
          <w:sz w:val="22"/>
          <w:szCs w:val="22"/>
        </w:rPr>
      </w:pPr>
      <w:r w:rsidRPr="00375ABE">
        <w:rPr>
          <w:rFonts w:ascii="Times New Roman" w:hAnsi="Times New Roman" w:cs="Times New Roman"/>
          <w:sz w:val="22"/>
          <w:szCs w:val="22"/>
        </w:rPr>
        <w:t>The board may appoint an ad hoc committee to make recommendations to the school district’s licensed employees, building principals, and superintendent, concerning the selection of instructional materials.  The committee may be composed of school district employees, parents, students, community members or representatives of community groups.</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rPr>
          <w:rFonts w:ascii="Times New Roman" w:hAnsi="Times New Roman" w:cs="Times New Roman"/>
          <w:sz w:val="22"/>
          <w:szCs w:val="22"/>
        </w:rPr>
      </w:pPr>
      <w:r w:rsidRPr="00375ABE">
        <w:rPr>
          <w:rFonts w:ascii="Times New Roman" w:hAnsi="Times New Roman" w:cs="Times New Roman"/>
          <w:sz w:val="22"/>
          <w:szCs w:val="22"/>
        </w:rPr>
        <w:t>In reviewing current instructional materials for continued use and in selecting additional instructional materials, the licensed employees will consider the current and future needs of the school district as well as the changes and the trends in education and society.  Additionally, licensed employees are to select instructional materials and textbooks that are free from discrimination, regardless of sex, race and color, national origin, religion and creed, age, marital/parental status, sexual orientation, gender identity, physical attributes, physical or mental ability or disability, ancestry, political party preference, political belief, or socioeconomic status or familial status.  It is the responsibility of the superintendent to report to the board the action taken by the selection committee.</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rPr>
          <w:rFonts w:ascii="Times New Roman" w:hAnsi="Times New Roman" w:cs="Times New Roman"/>
          <w:sz w:val="22"/>
          <w:szCs w:val="22"/>
        </w:rPr>
      </w:pPr>
      <w:r w:rsidRPr="00375ABE">
        <w:rPr>
          <w:rFonts w:ascii="Times New Roman" w:hAnsi="Times New Roman" w:cs="Times New Roman"/>
          <w:sz w:val="22"/>
          <w:szCs w:val="22"/>
        </w:rPr>
        <w:t>In making its recommendations to the superintendent, the licensed employees will select materials which:</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ind w:left="1080" w:hanging="10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sym w:font="Symbol" w:char="F0B7"/>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support</w:t>
      </w:r>
      <w:proofErr w:type="gramEnd"/>
      <w:r w:rsidRPr="00375ABE">
        <w:rPr>
          <w:rFonts w:ascii="Times New Roman" w:hAnsi="Times New Roman" w:cs="Times New Roman"/>
          <w:sz w:val="22"/>
          <w:szCs w:val="22"/>
        </w:rPr>
        <w:t xml:space="preserve"> the educational philosophy, goals and objectives of the school district;</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ind w:left="1080" w:hanging="10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sym w:font="Symbol" w:char="F0B7"/>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consider</w:t>
      </w:r>
      <w:proofErr w:type="gramEnd"/>
      <w:r w:rsidRPr="00375ABE">
        <w:rPr>
          <w:rFonts w:ascii="Times New Roman" w:hAnsi="Times New Roman" w:cs="Times New Roman"/>
          <w:sz w:val="22"/>
          <w:szCs w:val="22"/>
        </w:rPr>
        <w:t xml:space="preserve"> the needs, age, and maturity of students;</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ind w:left="1080" w:hanging="10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sym w:font="Symbol" w:char="F0B7"/>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are</w:t>
      </w:r>
      <w:proofErr w:type="gramEnd"/>
      <w:r w:rsidRPr="00375ABE">
        <w:rPr>
          <w:rFonts w:ascii="Times New Roman" w:hAnsi="Times New Roman" w:cs="Times New Roman"/>
          <w:sz w:val="22"/>
          <w:szCs w:val="22"/>
        </w:rPr>
        <w:t xml:space="preserve"> within the school district's budget;</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ind w:left="1080" w:hanging="10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sym w:font="Symbol" w:char="F0B7"/>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foster</w:t>
      </w:r>
      <w:proofErr w:type="gramEnd"/>
      <w:r w:rsidRPr="00375ABE">
        <w:rPr>
          <w:rFonts w:ascii="Times New Roman" w:hAnsi="Times New Roman" w:cs="Times New Roman"/>
          <w:sz w:val="22"/>
          <w:szCs w:val="22"/>
        </w:rPr>
        <w:t xml:space="preserve"> respect and appreciation for cultural diversity and difference of opinion;</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ind w:left="1080" w:hanging="10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sym w:font="Symbol" w:char="F0B7"/>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stimulate</w:t>
      </w:r>
      <w:proofErr w:type="gramEnd"/>
      <w:r w:rsidRPr="00375ABE">
        <w:rPr>
          <w:rFonts w:ascii="Times New Roman" w:hAnsi="Times New Roman" w:cs="Times New Roman"/>
          <w:sz w:val="22"/>
          <w:szCs w:val="22"/>
        </w:rPr>
        <w:t xml:space="preserve"> growth in factual knowledge and literary appreciation;</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ind w:left="1080" w:hanging="10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sym w:font="Symbol" w:char="F0B7"/>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encourage</w:t>
      </w:r>
      <w:proofErr w:type="gramEnd"/>
      <w:r w:rsidRPr="00375ABE">
        <w:rPr>
          <w:rFonts w:ascii="Times New Roman" w:hAnsi="Times New Roman" w:cs="Times New Roman"/>
          <w:sz w:val="22"/>
          <w:szCs w:val="22"/>
        </w:rPr>
        <w:t xml:space="preserve"> students to become decision-makers, to exercise freedom of thought and to make independent judgment through the examination and evaluation of relevant information, evidence and differing viewpoints;</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ind w:left="1080" w:hanging="1080"/>
        <w:rPr>
          <w:rFonts w:ascii="Times New Roman" w:hAnsi="Times New Roman" w:cs="Times New Roman"/>
          <w:sz w:val="22"/>
          <w:szCs w:val="22"/>
          <w:u w:val="single"/>
        </w:rPr>
      </w:pPr>
      <w:r w:rsidRPr="00375ABE">
        <w:rPr>
          <w:rFonts w:ascii="Times New Roman" w:hAnsi="Times New Roman" w:cs="Times New Roman"/>
          <w:sz w:val="22"/>
          <w:szCs w:val="22"/>
        </w:rPr>
        <w:tab/>
      </w:r>
      <w:r w:rsidRPr="00375ABE">
        <w:rPr>
          <w:rFonts w:ascii="Times New Roman" w:hAnsi="Times New Roman" w:cs="Times New Roman"/>
          <w:sz w:val="22"/>
          <w:szCs w:val="22"/>
        </w:rPr>
        <w:sym w:font="Symbol" w:char="F0B7"/>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portray</w:t>
      </w:r>
      <w:proofErr w:type="gramEnd"/>
      <w:r w:rsidRPr="00375ABE">
        <w:rPr>
          <w:rFonts w:ascii="Times New Roman" w:hAnsi="Times New Roman" w:cs="Times New Roman"/>
          <w:sz w:val="22"/>
          <w:szCs w:val="22"/>
        </w:rPr>
        <w:t xml:space="preserve"> the variety of careers, roles, and lifestyles open to persons of both sexes; and,</w:t>
      </w:r>
    </w:p>
    <w:p w:rsidR="008B19AA" w:rsidRPr="00375ABE" w:rsidRDefault="008B19AA" w:rsidP="008B19AA">
      <w:pPr>
        <w:pStyle w:val="ConvertStyle56"/>
        <w:tabs>
          <w:tab w:val="left" w:pos="9360"/>
        </w:tabs>
        <w:ind w:right="0"/>
        <w:jc w:val="right"/>
        <w:rPr>
          <w:rFonts w:ascii="Times New Roman" w:hAnsi="Times New Roman" w:cs="Times New Roman"/>
          <w:sz w:val="22"/>
          <w:szCs w:val="22"/>
        </w:rPr>
      </w:pPr>
      <w:r w:rsidRPr="00375ABE">
        <w:rPr>
          <w:rFonts w:ascii="Times New Roman" w:hAnsi="Times New Roman" w:cs="Times New Roman"/>
          <w:sz w:val="22"/>
          <w:szCs w:val="22"/>
          <w:u w:val="single"/>
        </w:rPr>
        <w:t>Code No. 605.1</w:t>
      </w:r>
    </w:p>
    <w:p w:rsidR="008B19AA" w:rsidRPr="00375ABE" w:rsidRDefault="008B19AA" w:rsidP="008B19AA">
      <w:pPr>
        <w:pStyle w:val="ConvertStyle56"/>
        <w:ind w:right="0"/>
        <w:jc w:val="right"/>
        <w:rPr>
          <w:rFonts w:ascii="Times New Roman" w:hAnsi="Times New Roman" w:cs="Times New Roman"/>
          <w:sz w:val="22"/>
          <w:szCs w:val="22"/>
        </w:rPr>
      </w:pPr>
      <w:r w:rsidRPr="00375ABE">
        <w:rPr>
          <w:rFonts w:ascii="Times New Roman" w:hAnsi="Times New Roman" w:cs="Times New Roman"/>
          <w:sz w:val="22"/>
          <w:szCs w:val="22"/>
        </w:rPr>
        <w:t>Page 2 of 2</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6"/>
        <w:jc w:val="center"/>
        <w:rPr>
          <w:rFonts w:ascii="Times New Roman" w:hAnsi="Times New Roman" w:cs="Times New Roman"/>
          <w:sz w:val="22"/>
          <w:szCs w:val="22"/>
        </w:rPr>
      </w:pPr>
      <w:r w:rsidRPr="00375ABE">
        <w:rPr>
          <w:rFonts w:ascii="Times New Roman" w:hAnsi="Times New Roman" w:cs="Times New Roman"/>
          <w:sz w:val="22"/>
          <w:szCs w:val="22"/>
        </w:rPr>
        <w:t>INSTRUCTIONAL MATERIALS SELECTION</w:t>
      </w:r>
    </w:p>
    <w:p w:rsidR="008B19AA" w:rsidRPr="00375ABE" w:rsidRDefault="008B19AA" w:rsidP="008B19AA">
      <w:pPr>
        <w:pStyle w:val="ConvertStyle56"/>
        <w:jc w:val="center"/>
        <w:rPr>
          <w:rFonts w:ascii="Times New Roman" w:hAnsi="Times New Roman" w:cs="Times New Roman"/>
          <w:sz w:val="22"/>
          <w:szCs w:val="22"/>
        </w:rPr>
      </w:pPr>
    </w:p>
    <w:p w:rsidR="008B19AA" w:rsidRPr="00375ABE" w:rsidRDefault="008B19AA" w:rsidP="008B19AA">
      <w:pPr>
        <w:pStyle w:val="ConvertStyle56"/>
        <w:jc w:val="center"/>
        <w:rPr>
          <w:rFonts w:ascii="Times New Roman" w:hAnsi="Times New Roman" w:cs="Times New Roman"/>
          <w:sz w:val="22"/>
          <w:szCs w:val="22"/>
        </w:rPr>
      </w:pPr>
    </w:p>
    <w:p w:rsidR="008B19AA" w:rsidRPr="00375ABE" w:rsidRDefault="008B19AA" w:rsidP="008B19AA">
      <w:pPr>
        <w:pStyle w:val="ConvertStyle57"/>
        <w:ind w:left="1080" w:hanging="10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sym w:font="Symbol" w:char="F0B7"/>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increase</w:t>
      </w:r>
      <w:proofErr w:type="gramEnd"/>
      <w:r w:rsidRPr="00375ABE">
        <w:rPr>
          <w:rFonts w:ascii="Times New Roman" w:hAnsi="Times New Roman" w:cs="Times New Roman"/>
          <w:sz w:val="22"/>
          <w:szCs w:val="22"/>
        </w:rPr>
        <w:t xml:space="preserve"> an awareness of the rights, duties, and responsibilities of each member of a multicultural society.</w:t>
      </w:r>
    </w:p>
    <w:p w:rsidR="008B19AA" w:rsidRPr="00375ABE" w:rsidRDefault="008B19AA" w:rsidP="008B19AA">
      <w:pPr>
        <w:pStyle w:val="ConvertStyle56"/>
        <w:rPr>
          <w:rFonts w:ascii="Times New Roman" w:hAnsi="Times New Roman" w:cs="Times New Roman"/>
          <w:sz w:val="22"/>
          <w:szCs w:val="22"/>
        </w:rPr>
      </w:pPr>
    </w:p>
    <w:p w:rsidR="008B19AA" w:rsidRPr="00375ABE" w:rsidRDefault="008B19AA" w:rsidP="008B19AA">
      <w:pPr>
        <w:pStyle w:val="ConvertStyle57"/>
        <w:rPr>
          <w:rFonts w:ascii="Times New Roman" w:hAnsi="Times New Roman" w:cs="Times New Roman"/>
          <w:sz w:val="22"/>
          <w:szCs w:val="22"/>
        </w:rPr>
      </w:pPr>
      <w:r w:rsidRPr="00375ABE">
        <w:rPr>
          <w:rFonts w:ascii="Times New Roman" w:hAnsi="Times New Roman" w:cs="Times New Roman"/>
          <w:sz w:val="22"/>
          <w:szCs w:val="22"/>
        </w:rPr>
        <w:t>In the case of textbooks, the board will make the final decision after a recommendation from the superintendent.  The criteria stated above for selection of instructional materials will also apply to the selection of textbooks.  The superintendent may appoint licensed employees to assist in the selection of textbooks.  The selectio</w:t>
      </w:r>
      <w:r>
        <w:rPr>
          <w:rFonts w:ascii="Times New Roman" w:hAnsi="Times New Roman" w:cs="Times New Roman"/>
          <w:sz w:val="22"/>
          <w:szCs w:val="22"/>
        </w:rPr>
        <w:t>n of textbooks will be on a seven</w:t>
      </w:r>
      <w:r w:rsidRPr="00375ABE">
        <w:rPr>
          <w:rFonts w:ascii="Times New Roman" w:hAnsi="Times New Roman" w:cs="Times New Roman"/>
          <w:sz w:val="22"/>
          <w:szCs w:val="22"/>
        </w:rPr>
        <w:t>-year cycle.</w:t>
      </w:r>
    </w:p>
    <w:p w:rsidR="008B19AA" w:rsidRPr="00375ABE" w:rsidRDefault="008B19AA" w:rsidP="008B19AA">
      <w:pPr>
        <w:pStyle w:val="ConvertStyle57"/>
        <w:rPr>
          <w:rFonts w:ascii="Times New Roman" w:hAnsi="Times New Roman" w:cs="Times New Roman"/>
          <w:sz w:val="22"/>
          <w:szCs w:val="22"/>
        </w:rPr>
      </w:pPr>
    </w:p>
    <w:p w:rsidR="008B19AA" w:rsidRPr="00375ABE" w:rsidRDefault="008B19AA" w:rsidP="008B19AA">
      <w:pPr>
        <w:pStyle w:val="ConvertStyle57"/>
        <w:rPr>
          <w:rFonts w:ascii="Times New Roman" w:hAnsi="Times New Roman" w:cs="Times New Roman"/>
          <w:sz w:val="22"/>
          <w:szCs w:val="22"/>
        </w:rPr>
      </w:pPr>
      <w:r w:rsidRPr="00375ABE">
        <w:rPr>
          <w:rFonts w:ascii="Times New Roman" w:hAnsi="Times New Roman" w:cs="Times New Roman"/>
          <w:sz w:val="22"/>
          <w:szCs w:val="22"/>
        </w:rPr>
        <w:t>Gifts of instructional materials must meet these criteria stated above for the selection of instructional materials.  The gift must be received in compliance with board policy.</w:t>
      </w:r>
    </w:p>
    <w:p w:rsidR="008B19AA" w:rsidRPr="00375ABE" w:rsidRDefault="008B19AA" w:rsidP="008B19AA">
      <w:pPr>
        <w:pStyle w:val="ConvertStyle57"/>
        <w:rPr>
          <w:rFonts w:ascii="Times New Roman" w:hAnsi="Times New Roman" w:cs="Times New Roman"/>
          <w:sz w:val="22"/>
          <w:szCs w:val="22"/>
        </w:rPr>
      </w:pPr>
    </w:p>
    <w:p w:rsidR="008B19AA" w:rsidRPr="00375ABE" w:rsidRDefault="008B19AA" w:rsidP="008B19AA">
      <w:pPr>
        <w:pStyle w:val="ConvertStyle57"/>
        <w:rPr>
          <w:rFonts w:ascii="Times New Roman" w:hAnsi="Times New Roman" w:cs="Times New Roman"/>
          <w:sz w:val="22"/>
          <w:szCs w:val="22"/>
        </w:rPr>
      </w:pPr>
    </w:p>
    <w:p w:rsidR="008B19AA" w:rsidRPr="00375ABE" w:rsidRDefault="008B19AA" w:rsidP="008B19AA">
      <w:pPr>
        <w:pStyle w:val="ConvertStyle57"/>
        <w:rPr>
          <w:rFonts w:ascii="Times New Roman" w:hAnsi="Times New Roman" w:cs="Times New Roman"/>
          <w:sz w:val="22"/>
          <w:szCs w:val="22"/>
        </w:rPr>
      </w:pPr>
    </w:p>
    <w:p w:rsidR="008B19AA" w:rsidRPr="00375ABE" w:rsidRDefault="008B19AA" w:rsidP="008B19AA">
      <w:pPr>
        <w:pStyle w:val="ConvertStyle57"/>
        <w:rPr>
          <w:rFonts w:ascii="Times New Roman" w:hAnsi="Times New Roman" w:cs="Times New Roman"/>
          <w:sz w:val="22"/>
          <w:szCs w:val="22"/>
        </w:rPr>
      </w:pPr>
    </w:p>
    <w:p w:rsidR="008B19AA" w:rsidRPr="00375ABE" w:rsidRDefault="008B19AA" w:rsidP="008B19AA">
      <w:pPr>
        <w:pStyle w:val="ConvertStyle57"/>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p>
    <w:p w:rsidR="008B19AA" w:rsidRPr="00375ABE" w:rsidRDefault="008B19AA" w:rsidP="008B19AA">
      <w:pPr>
        <w:pStyle w:val="ConvertStyle57"/>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sz w:val="22"/>
          <w:szCs w:val="22"/>
        </w:rPr>
      </w:pPr>
      <w:r w:rsidRPr="00375ABE">
        <w:rPr>
          <w:sz w:val="22"/>
          <w:szCs w:val="22"/>
        </w:rPr>
        <w:t>Approved:  January 14, 1987</w:t>
      </w:r>
      <w:r w:rsidRPr="00375ABE">
        <w:rPr>
          <w:sz w:val="22"/>
          <w:szCs w:val="22"/>
        </w:rPr>
        <w:tab/>
        <w:t xml:space="preserve">    Reviewed:  October 15, 1997</w:t>
      </w:r>
      <w:r w:rsidRPr="00375ABE">
        <w:rPr>
          <w:sz w:val="22"/>
          <w:szCs w:val="22"/>
        </w:rPr>
        <w:tab/>
        <w:t xml:space="preserve">       Revised:  March 19, 2003 </w:t>
      </w:r>
    </w:p>
    <w:p w:rsidR="008B19AA" w:rsidRPr="00375ABE" w:rsidRDefault="008B19AA" w:rsidP="008B19AA">
      <w:pPr>
        <w:pStyle w:val="ConvertStyle57"/>
        <w:tabs>
          <w:tab w:val="clear" w:pos="480"/>
          <w:tab w:val="clear" w:pos="1080"/>
          <w:tab w:val="clear" w:pos="1680"/>
          <w:tab w:val="clear" w:pos="2280"/>
          <w:tab w:val="clear" w:pos="4680"/>
          <w:tab w:val="clear" w:pos="7080"/>
          <w:tab w:val="left" w:pos="2160"/>
          <w:tab w:val="left" w:pos="2880"/>
        </w:tabs>
        <w:rPr>
          <w:sz w:val="22"/>
          <w:szCs w:val="22"/>
        </w:rPr>
      </w:pPr>
      <w:r w:rsidRPr="00375ABE">
        <w:rPr>
          <w:sz w:val="22"/>
          <w:szCs w:val="22"/>
        </w:rPr>
        <w:tab/>
      </w:r>
      <w:r w:rsidRPr="00375ABE">
        <w:rPr>
          <w:sz w:val="22"/>
          <w:szCs w:val="22"/>
        </w:rPr>
        <w:tab/>
        <w:t xml:space="preserve">                             July 15, 2009</w:t>
      </w:r>
      <w:r>
        <w:rPr>
          <w:sz w:val="22"/>
          <w:szCs w:val="22"/>
        </w:rPr>
        <w:tab/>
      </w:r>
      <w:r>
        <w:rPr>
          <w:sz w:val="22"/>
          <w:szCs w:val="22"/>
        </w:rPr>
        <w:tab/>
        <w:t xml:space="preserve">         August 20, 2014</w:t>
      </w:r>
    </w:p>
    <w:p w:rsidR="00BC0E2D" w:rsidRDefault="008B19AA" w:rsidP="008B19AA">
      <w:r w:rsidRPr="00375ABE">
        <w:br w:type="page"/>
      </w:r>
      <w:bookmarkStart w:id="0" w:name="_GoBack"/>
      <w:bookmarkEnd w:id="0"/>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AA"/>
    <w:rsid w:val="008B19AA"/>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57">
    <w:name w:val="ConvertStyle57"/>
    <w:basedOn w:val="Normal"/>
    <w:uiPriority w:val="99"/>
    <w:rsid w:val="008B19AA"/>
    <w:pPr>
      <w:tabs>
        <w:tab w:val="left" w:pos="480"/>
        <w:tab w:val="left" w:pos="1080"/>
        <w:tab w:val="decimal" w:pos="1680"/>
        <w:tab w:val="left" w:pos="2280"/>
        <w:tab w:val="decimal" w:pos="4680"/>
        <w:tab w:val="left" w:pos="7080"/>
      </w:tabs>
      <w:autoSpaceDE w:val="0"/>
      <w:autoSpaceDN w:val="0"/>
      <w:ind w:right="144"/>
    </w:pPr>
    <w:rPr>
      <w:rFonts w:ascii="Elite" w:hAnsi="Elite" w:cs="Elite"/>
      <w:sz w:val="20"/>
      <w:szCs w:val="20"/>
    </w:rPr>
  </w:style>
  <w:style w:type="paragraph" w:customStyle="1" w:styleId="ConvertStyle56">
    <w:name w:val="ConvertStyle56"/>
    <w:basedOn w:val="Normal"/>
    <w:uiPriority w:val="99"/>
    <w:rsid w:val="008B19AA"/>
    <w:pPr>
      <w:tabs>
        <w:tab w:val="left" w:pos="480"/>
        <w:tab w:val="left" w:pos="1080"/>
        <w:tab w:val="decimal" w:pos="1680"/>
        <w:tab w:val="decimal" w:pos="2280"/>
        <w:tab w:val="decimal" w:pos="4680"/>
        <w:tab w:val="left" w:pos="7080"/>
      </w:tabs>
      <w:autoSpaceDE w:val="0"/>
      <w:autoSpaceDN w:val="0"/>
      <w:ind w:right="14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57">
    <w:name w:val="ConvertStyle57"/>
    <w:basedOn w:val="Normal"/>
    <w:uiPriority w:val="99"/>
    <w:rsid w:val="008B19AA"/>
    <w:pPr>
      <w:tabs>
        <w:tab w:val="left" w:pos="480"/>
        <w:tab w:val="left" w:pos="1080"/>
        <w:tab w:val="decimal" w:pos="1680"/>
        <w:tab w:val="left" w:pos="2280"/>
        <w:tab w:val="decimal" w:pos="4680"/>
        <w:tab w:val="left" w:pos="7080"/>
      </w:tabs>
      <w:autoSpaceDE w:val="0"/>
      <w:autoSpaceDN w:val="0"/>
      <w:ind w:right="144"/>
    </w:pPr>
    <w:rPr>
      <w:rFonts w:ascii="Elite" w:hAnsi="Elite" w:cs="Elite"/>
      <w:sz w:val="20"/>
      <w:szCs w:val="20"/>
    </w:rPr>
  </w:style>
  <w:style w:type="paragraph" w:customStyle="1" w:styleId="ConvertStyle56">
    <w:name w:val="ConvertStyle56"/>
    <w:basedOn w:val="Normal"/>
    <w:uiPriority w:val="99"/>
    <w:rsid w:val="008B19AA"/>
    <w:pPr>
      <w:tabs>
        <w:tab w:val="left" w:pos="480"/>
        <w:tab w:val="left" w:pos="1080"/>
        <w:tab w:val="decimal" w:pos="1680"/>
        <w:tab w:val="decimal" w:pos="2280"/>
        <w:tab w:val="decimal" w:pos="4680"/>
        <w:tab w:val="left" w:pos="7080"/>
      </w:tabs>
      <w:autoSpaceDE w:val="0"/>
      <w:autoSpaceDN w:val="0"/>
      <w:ind w:right="14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2963</Characters>
  <Application>Microsoft Macintosh Word</Application>
  <DocSecurity>0</DocSecurity>
  <Lines>24</Lines>
  <Paragraphs>6</Paragraphs>
  <ScaleCrop>false</ScaleCrop>
  <Company>Springville CSD</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2015-03-09T21:36:00Z</dcterms:created>
  <dcterms:modified xsi:type="dcterms:W3CDTF">2015-03-09T21:37:00Z</dcterms:modified>
</cp:coreProperties>
</file>